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FF9F" w14:textId="2276FFCA" w:rsidR="00D85848" w:rsidRPr="00D85848" w:rsidRDefault="00D85848" w:rsidP="00D42938">
      <w:pPr>
        <w:rPr>
          <w:b/>
          <w:sz w:val="32"/>
        </w:rPr>
      </w:pPr>
      <w:r w:rsidRPr="00D85848">
        <w:rPr>
          <w:b/>
          <w:sz w:val="32"/>
        </w:rPr>
        <w:t>Bruttolisten</w:t>
      </w:r>
    </w:p>
    <w:tbl>
      <w:tblPr>
        <w:tblStyle w:val="Tabel-Gitter"/>
        <w:tblW w:w="22256" w:type="dxa"/>
        <w:tblInd w:w="-998" w:type="dxa"/>
        <w:tblLook w:val="04A0" w:firstRow="1" w:lastRow="0" w:firstColumn="1" w:lastColumn="0" w:noHBand="0" w:noVBand="1"/>
      </w:tblPr>
      <w:tblGrid>
        <w:gridCol w:w="2411"/>
        <w:gridCol w:w="2551"/>
        <w:gridCol w:w="1418"/>
        <w:gridCol w:w="3969"/>
        <w:gridCol w:w="11907"/>
      </w:tblGrid>
      <w:tr w:rsidR="00AD2979" w:rsidRPr="007D14C1" w14:paraId="26E76739" w14:textId="77777777" w:rsidTr="00B64AE1">
        <w:tc>
          <w:tcPr>
            <w:tcW w:w="2411" w:type="dxa"/>
          </w:tcPr>
          <w:p w14:paraId="4EF4273D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>
              <w:rPr>
                <w:b/>
              </w:rPr>
              <w:t>Databetegnelse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923D02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 w:rsidRPr="007D14C1">
              <w:rPr>
                <w:b/>
              </w:rPr>
              <w:t>Datatype</w:t>
            </w:r>
            <w:r>
              <w:rPr>
                <w:b/>
              </w:rPr>
              <w:t xml:space="preserve"> – og fremstilling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3B3425" w14:textId="77777777" w:rsidR="00AD2979" w:rsidRPr="007D14C1" w:rsidRDefault="00AD2979" w:rsidP="00340759">
            <w:pPr>
              <w:pStyle w:val="Ingenafstand"/>
              <w:rPr>
                <w:b/>
              </w:rPr>
            </w:pPr>
            <w:r>
              <w:rPr>
                <w:b/>
              </w:rPr>
              <w:t>Kvalitativ K</w:t>
            </w:r>
            <w:r w:rsidRPr="007D14C1">
              <w:rPr>
                <w:b/>
              </w:rPr>
              <w:t>vantitativ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A4C2EAE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>
              <w:rPr>
                <w:b/>
              </w:rPr>
              <w:t>Datasystem og -registrering</w:t>
            </w:r>
          </w:p>
        </w:tc>
        <w:tc>
          <w:tcPr>
            <w:tcW w:w="11907" w:type="dxa"/>
            <w:tcBorders>
              <w:bottom w:val="single" w:sz="4" w:space="0" w:color="auto"/>
            </w:tcBorders>
          </w:tcPr>
          <w:p w14:paraId="67A7AEBD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 w:rsidRPr="007D14C1">
              <w:rPr>
                <w:b/>
              </w:rPr>
              <w:t>Bemærkninger</w:t>
            </w:r>
          </w:p>
        </w:tc>
      </w:tr>
      <w:tr w:rsidR="00AD2979" w:rsidRPr="007D14C1" w14:paraId="2B2C5010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166FB207" w14:textId="77777777" w:rsidR="00AD2979" w:rsidRPr="007D14C1" w:rsidRDefault="00AD2979" w:rsidP="00985D95">
            <w:pPr>
              <w:pStyle w:val="Ingenafstand"/>
              <w:rPr>
                <w:b/>
                <w:sz w:val="20"/>
                <w:szCs w:val="20"/>
              </w:rPr>
            </w:pPr>
            <w:r w:rsidRPr="007D14C1">
              <w:rPr>
                <w:b/>
                <w:sz w:val="20"/>
                <w:szCs w:val="20"/>
              </w:rPr>
              <w:t>Elevprodukter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60D727C" w14:textId="59DBC316" w:rsidR="00AD2979" w:rsidRPr="007D14C1" w:rsidRDefault="00AD2979" w:rsidP="00E445A5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 xml:space="preserve">Tegninger, </w:t>
            </w:r>
            <w:r>
              <w:rPr>
                <w:sz w:val="20"/>
                <w:szCs w:val="20"/>
              </w:rPr>
              <w:t>tekster</w:t>
            </w:r>
            <w:r w:rsidR="00F1106F">
              <w:rPr>
                <w:sz w:val="20"/>
                <w:szCs w:val="20"/>
              </w:rPr>
              <w:t>,</w:t>
            </w:r>
            <w:r w:rsidRPr="007D14C1">
              <w:rPr>
                <w:sz w:val="20"/>
                <w:szCs w:val="20"/>
              </w:rPr>
              <w:t xml:space="preserve"> modeller</w:t>
            </w:r>
            <w:r w:rsidR="00F1106F">
              <w:rPr>
                <w:sz w:val="20"/>
                <w:szCs w:val="20"/>
              </w:rPr>
              <w:t xml:space="preserve"> og</w:t>
            </w:r>
            <w:r>
              <w:rPr>
                <w:sz w:val="20"/>
                <w:szCs w:val="20"/>
              </w:rPr>
              <w:t xml:space="preserve"> opgavebesvarelser</w:t>
            </w:r>
          </w:p>
        </w:tc>
        <w:tc>
          <w:tcPr>
            <w:tcW w:w="1418" w:type="dxa"/>
            <w:shd w:val="clear" w:color="auto" w:fill="FFFFFF" w:themeFill="background1"/>
          </w:tcPr>
          <w:p w14:paraId="5CEDE4DF" w14:textId="77777777" w:rsidR="00AD2979" w:rsidRPr="007D14C1" w:rsidRDefault="00AD2979" w:rsidP="00985D95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Kvalitativ</w:t>
            </w:r>
          </w:p>
        </w:tc>
        <w:tc>
          <w:tcPr>
            <w:tcW w:w="3969" w:type="dxa"/>
            <w:shd w:val="clear" w:color="auto" w:fill="FFFFFF" w:themeFill="background1"/>
          </w:tcPr>
          <w:p w14:paraId="2D723972" w14:textId="77777777" w:rsidR="00AD2979" w:rsidRDefault="00AD2979" w:rsidP="00894F0D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Fysiske læringsrum – vægge, fysisk </w:t>
            </w:r>
            <w:proofErr w:type="spellStart"/>
            <w:r>
              <w:rPr>
                <w:sz w:val="20"/>
                <w:szCs w:val="20"/>
              </w:rPr>
              <w:t>portfolio</w:t>
            </w:r>
            <w:proofErr w:type="spellEnd"/>
          </w:p>
          <w:p w14:paraId="12129C9D" w14:textId="77777777" w:rsidR="00AD2979" w:rsidRPr="007D14C1" w:rsidRDefault="00AD2979" w:rsidP="00E445A5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Digitale læringsrum – læringsplatformen/elevplanen, </w:t>
            </w:r>
            <w:proofErr w:type="spellStart"/>
            <w:r>
              <w:rPr>
                <w:sz w:val="20"/>
                <w:szCs w:val="20"/>
              </w:rPr>
              <w:t>Elevintra</w:t>
            </w:r>
            <w:proofErr w:type="spellEnd"/>
          </w:p>
        </w:tc>
        <w:tc>
          <w:tcPr>
            <w:tcW w:w="11907" w:type="dxa"/>
            <w:shd w:val="clear" w:color="auto" w:fill="FFFFFF" w:themeFill="background1"/>
          </w:tcPr>
          <w:p w14:paraId="3E6E3706" w14:textId="77777777" w:rsidR="00AD2979" w:rsidRDefault="00AD2979" w:rsidP="00340759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 xml:space="preserve">Elevprodukterne kan fungere som </w:t>
            </w:r>
            <w:r>
              <w:rPr>
                <w:sz w:val="20"/>
                <w:szCs w:val="20"/>
              </w:rPr>
              <w:t xml:space="preserve">synlige </w:t>
            </w:r>
            <w:r w:rsidRPr="007D14C1">
              <w:rPr>
                <w:sz w:val="20"/>
                <w:szCs w:val="20"/>
              </w:rPr>
              <w:t>tegn på læring. Elevernes egen samling af repræsentative produkter samt refleksioner.</w:t>
            </w:r>
            <w:r>
              <w:rPr>
                <w:sz w:val="20"/>
                <w:szCs w:val="20"/>
              </w:rPr>
              <w:t xml:space="preserve"> Hvis de er synlige, kan de s</w:t>
            </w:r>
            <w:r w:rsidRPr="007D14C1">
              <w:rPr>
                <w:sz w:val="20"/>
                <w:szCs w:val="20"/>
              </w:rPr>
              <w:t>tyrke elevernes indsigt o</w:t>
            </w:r>
            <w:r>
              <w:rPr>
                <w:sz w:val="20"/>
                <w:szCs w:val="20"/>
              </w:rPr>
              <w:t xml:space="preserve">g refleksion over egen læring og giver gode muligheder for </w:t>
            </w:r>
            <w:r w:rsidRPr="007D14C1">
              <w:rPr>
                <w:sz w:val="20"/>
                <w:szCs w:val="20"/>
              </w:rPr>
              <w:t>selvevaluering</w:t>
            </w:r>
            <w:r w:rsidR="00F1106F">
              <w:rPr>
                <w:sz w:val="20"/>
                <w:szCs w:val="20"/>
              </w:rPr>
              <w:t>.</w:t>
            </w:r>
          </w:p>
          <w:p w14:paraId="6E58D39D" w14:textId="77777777" w:rsidR="00FD1B82" w:rsidRDefault="00FD1B82" w:rsidP="00340759">
            <w:pPr>
              <w:pStyle w:val="Ingenafstand"/>
              <w:rPr>
                <w:sz w:val="20"/>
                <w:szCs w:val="20"/>
              </w:rPr>
            </w:pPr>
          </w:p>
          <w:p w14:paraId="6F0EF079" w14:textId="77777777" w:rsidR="00FD1B82" w:rsidRPr="007D14C1" w:rsidRDefault="00FD1B82" w:rsidP="00340759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019D06BA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5E084443" w14:textId="77777777" w:rsidR="00AD2979" w:rsidRPr="007D14C1" w:rsidRDefault="00AD2979" w:rsidP="00DB2458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Klassediskussioner</w:t>
            </w:r>
          </w:p>
        </w:tc>
        <w:tc>
          <w:tcPr>
            <w:tcW w:w="2551" w:type="dxa"/>
            <w:shd w:val="clear" w:color="auto" w:fill="FFFFFF" w:themeFill="background1"/>
          </w:tcPr>
          <w:p w14:paraId="7E2F9EFE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Samtaler, dialoger og diskussioner</w:t>
            </w:r>
          </w:p>
        </w:tc>
        <w:tc>
          <w:tcPr>
            <w:tcW w:w="1418" w:type="dxa"/>
            <w:shd w:val="clear" w:color="auto" w:fill="FFFFFF" w:themeFill="background1"/>
          </w:tcPr>
          <w:p w14:paraId="03F3829E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Kvalitativ</w:t>
            </w:r>
          </w:p>
        </w:tc>
        <w:tc>
          <w:tcPr>
            <w:tcW w:w="3969" w:type="dxa"/>
            <w:shd w:val="clear" w:color="auto" w:fill="FFFFFF" w:themeFill="background1"/>
          </w:tcPr>
          <w:p w14:paraId="2FE6A31E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Video, lydoptagelser eller observationsnoter</w:t>
            </w:r>
          </w:p>
        </w:tc>
        <w:tc>
          <w:tcPr>
            <w:tcW w:w="11907" w:type="dxa"/>
            <w:shd w:val="clear" w:color="auto" w:fill="FFFFFF" w:themeFill="background1"/>
          </w:tcPr>
          <w:p w14:paraId="60BB1BBA" w14:textId="77777777" w:rsidR="00AD2979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Sokratiske samtaler og dybdelæring bør være i fokus frem for overfladelæring. Spørgeteknikker er væsentlige.</w:t>
            </w:r>
          </w:p>
          <w:p w14:paraId="0523ABC8" w14:textId="77777777" w:rsidR="00FD1B82" w:rsidRDefault="00FD1B82" w:rsidP="00DB2458">
            <w:pPr>
              <w:pStyle w:val="Ingenafstand"/>
              <w:rPr>
                <w:sz w:val="20"/>
                <w:szCs w:val="20"/>
              </w:rPr>
            </w:pPr>
          </w:p>
          <w:p w14:paraId="3E0C86D2" w14:textId="77777777" w:rsidR="00FD1B82" w:rsidRPr="007D14C1" w:rsidRDefault="00FD1B82" w:rsidP="00DB2458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31741010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0017B849" w14:textId="77777777" w:rsidR="00AD2979" w:rsidRPr="007D14C1" w:rsidRDefault="00AD2979" w:rsidP="00DB2458">
            <w:pPr>
              <w:pStyle w:val="Ingenafstand"/>
              <w:rPr>
                <w:b/>
                <w:sz w:val="20"/>
                <w:szCs w:val="20"/>
              </w:rPr>
            </w:pPr>
            <w:r w:rsidRPr="007D14C1">
              <w:rPr>
                <w:b/>
                <w:sz w:val="20"/>
                <w:szCs w:val="20"/>
              </w:rPr>
              <w:t>Elevsamtaler</w:t>
            </w:r>
          </w:p>
        </w:tc>
        <w:tc>
          <w:tcPr>
            <w:tcW w:w="2551" w:type="dxa"/>
            <w:shd w:val="clear" w:color="auto" w:fill="FFFFFF" w:themeFill="background1"/>
          </w:tcPr>
          <w:p w14:paraId="29056A2A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amtale og dialog</w:t>
            </w:r>
          </w:p>
        </w:tc>
        <w:tc>
          <w:tcPr>
            <w:tcW w:w="1418" w:type="dxa"/>
            <w:shd w:val="clear" w:color="auto" w:fill="FFFFFF" w:themeFill="background1"/>
          </w:tcPr>
          <w:p w14:paraId="4FC6A196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Kvalitativ</w:t>
            </w:r>
          </w:p>
        </w:tc>
        <w:tc>
          <w:tcPr>
            <w:tcW w:w="3969" w:type="dxa"/>
            <w:shd w:val="clear" w:color="auto" w:fill="FFFFFF" w:themeFill="background1"/>
          </w:tcPr>
          <w:p w14:paraId="1231E06F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Læringsplatformen/elevplanen, samtalereferat, optages på lyd eller video</w:t>
            </w:r>
          </w:p>
        </w:tc>
        <w:tc>
          <w:tcPr>
            <w:tcW w:w="11907" w:type="dxa"/>
            <w:shd w:val="clear" w:color="auto" w:fill="FFFFFF" w:themeFill="background1"/>
          </w:tcPr>
          <w:p w14:paraId="1E7BB188" w14:textId="220DA665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Uformelle eller strukturerede – medvirker til fælles forståelse og afklaring af f</w:t>
            </w:r>
            <w:r w:rsidR="00F1106F">
              <w:rPr>
                <w:sz w:val="20"/>
                <w:szCs w:val="20"/>
              </w:rPr>
              <w:t>x</w:t>
            </w:r>
            <w:r w:rsidRPr="007D14C1">
              <w:rPr>
                <w:sz w:val="20"/>
                <w:szCs w:val="20"/>
              </w:rPr>
              <w:t xml:space="preserve"> læringsmål. Samtaleark kan støtte strukturen på samtalen. </w:t>
            </w:r>
          </w:p>
          <w:p w14:paraId="4481B8C6" w14:textId="77777777" w:rsidR="00AD2979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 xml:space="preserve">Styrker elevernes indsigt og refleksion over egen læring </w:t>
            </w:r>
            <w:r w:rsidR="00F1106F">
              <w:rPr>
                <w:sz w:val="20"/>
                <w:szCs w:val="20"/>
              </w:rPr>
              <w:t>–</w:t>
            </w:r>
            <w:r w:rsidRPr="007D14C1">
              <w:rPr>
                <w:sz w:val="20"/>
                <w:szCs w:val="20"/>
              </w:rPr>
              <w:t xml:space="preserve"> selvevaluering</w:t>
            </w:r>
            <w:r w:rsidR="00F1106F">
              <w:rPr>
                <w:sz w:val="20"/>
                <w:szCs w:val="20"/>
              </w:rPr>
              <w:t>.</w:t>
            </w:r>
          </w:p>
          <w:p w14:paraId="3F9A68B5" w14:textId="77777777" w:rsidR="00FD1B82" w:rsidRDefault="00FD1B82" w:rsidP="00DB2458">
            <w:pPr>
              <w:pStyle w:val="Ingenafstand"/>
              <w:rPr>
                <w:sz w:val="20"/>
                <w:szCs w:val="20"/>
              </w:rPr>
            </w:pPr>
          </w:p>
          <w:p w14:paraId="0A567285" w14:textId="00B52BD0" w:rsidR="00FD1B82" w:rsidRPr="007D14C1" w:rsidRDefault="00FD1B82" w:rsidP="00DB2458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15D2E7E0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4C99150C" w14:textId="62E4E27C" w:rsidR="00AD2979" w:rsidRPr="007D14C1" w:rsidRDefault="00AD2979" w:rsidP="00DB2458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Feedbacksamtaler</w:t>
            </w:r>
          </w:p>
        </w:tc>
        <w:tc>
          <w:tcPr>
            <w:tcW w:w="2551" w:type="dxa"/>
            <w:shd w:val="clear" w:color="auto" w:fill="FFFFFF" w:themeFill="background1"/>
          </w:tcPr>
          <w:p w14:paraId="27C94208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Samtale og dialog</w:t>
            </w:r>
          </w:p>
        </w:tc>
        <w:tc>
          <w:tcPr>
            <w:tcW w:w="1418" w:type="dxa"/>
            <w:shd w:val="clear" w:color="auto" w:fill="FFFFFF" w:themeFill="background1"/>
          </w:tcPr>
          <w:p w14:paraId="6EF6EA1F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Kvalitativ</w:t>
            </w:r>
          </w:p>
        </w:tc>
        <w:tc>
          <w:tcPr>
            <w:tcW w:w="3969" w:type="dxa"/>
            <w:shd w:val="clear" w:color="auto" w:fill="FFFFFF" w:themeFill="background1"/>
          </w:tcPr>
          <w:p w14:paraId="11809077" w14:textId="77777777" w:rsidR="00AD2979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Læringsplatformen/elevplanen, </w:t>
            </w:r>
            <w:proofErr w:type="spellStart"/>
            <w:r>
              <w:rPr>
                <w:sz w:val="20"/>
                <w:szCs w:val="20"/>
              </w:rPr>
              <w:t>SkoleIntra</w:t>
            </w:r>
            <w:proofErr w:type="spellEnd"/>
            <w:r>
              <w:rPr>
                <w:sz w:val="20"/>
                <w:szCs w:val="20"/>
              </w:rPr>
              <w:t>, samtalereferat, optages på lyd eller video</w:t>
            </w:r>
          </w:p>
        </w:tc>
        <w:tc>
          <w:tcPr>
            <w:tcW w:w="11907" w:type="dxa"/>
            <w:shd w:val="clear" w:color="auto" w:fill="FFFFFF" w:themeFill="background1"/>
          </w:tcPr>
          <w:p w14:paraId="21AFCD5C" w14:textId="77777777" w:rsidR="00AD2979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Struktureret feedback – f</w:t>
            </w:r>
            <w:r w:rsidR="00F110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efter Hatties model – </w:t>
            </w:r>
            <w:r w:rsidR="00F1106F">
              <w:rPr>
                <w:sz w:val="20"/>
                <w:szCs w:val="20"/>
              </w:rPr>
              <w:t>tre</w:t>
            </w:r>
            <w:r>
              <w:rPr>
                <w:sz w:val="20"/>
                <w:szCs w:val="20"/>
              </w:rPr>
              <w:t xml:space="preserve"> trin på </w:t>
            </w:r>
            <w:r w:rsidR="00F1106F">
              <w:rPr>
                <w:sz w:val="20"/>
                <w:szCs w:val="20"/>
              </w:rPr>
              <w:t>fire</w:t>
            </w:r>
            <w:r>
              <w:rPr>
                <w:sz w:val="20"/>
                <w:szCs w:val="20"/>
              </w:rPr>
              <w:t xml:space="preserve"> niveauer</w:t>
            </w:r>
            <w:r w:rsidR="00F1106F">
              <w:rPr>
                <w:sz w:val="20"/>
                <w:szCs w:val="20"/>
              </w:rPr>
              <w:t>.</w:t>
            </w:r>
          </w:p>
          <w:p w14:paraId="70660195" w14:textId="77777777" w:rsidR="00FD1B82" w:rsidRDefault="00FD1B82" w:rsidP="00DB2458">
            <w:pPr>
              <w:pStyle w:val="Ingenafstand"/>
              <w:rPr>
                <w:sz w:val="20"/>
                <w:szCs w:val="20"/>
              </w:rPr>
            </w:pPr>
          </w:p>
          <w:p w14:paraId="0C32D99C" w14:textId="7C1E1639" w:rsidR="00FD1B82" w:rsidRPr="007D14C1" w:rsidRDefault="00FD1B82" w:rsidP="00DB2458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6737EA54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57164AAD" w14:textId="77777777" w:rsidR="00AD2979" w:rsidRPr="007D14C1" w:rsidRDefault="00AD2979" w:rsidP="00DB2458">
            <w:pPr>
              <w:pStyle w:val="Ingenafstand"/>
              <w:rPr>
                <w:b/>
                <w:sz w:val="20"/>
                <w:szCs w:val="20"/>
              </w:rPr>
            </w:pPr>
            <w:r w:rsidRPr="007D14C1">
              <w:rPr>
                <w:b/>
                <w:sz w:val="20"/>
                <w:szCs w:val="20"/>
              </w:rPr>
              <w:t>Narrati</w:t>
            </w:r>
            <w:r>
              <w:rPr>
                <w:b/>
                <w:sz w:val="20"/>
                <w:szCs w:val="20"/>
              </w:rPr>
              <w:t>ver</w:t>
            </w:r>
          </w:p>
        </w:tc>
        <w:tc>
          <w:tcPr>
            <w:tcW w:w="2551" w:type="dxa"/>
            <w:shd w:val="clear" w:color="auto" w:fill="FFFFFF" w:themeFill="background1"/>
          </w:tcPr>
          <w:p w14:paraId="0D3BA192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Historier</w:t>
            </w:r>
          </w:p>
        </w:tc>
        <w:tc>
          <w:tcPr>
            <w:tcW w:w="1418" w:type="dxa"/>
            <w:shd w:val="clear" w:color="auto" w:fill="FFFFFF" w:themeFill="background1"/>
          </w:tcPr>
          <w:p w14:paraId="43B225E5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Kvalitativ</w:t>
            </w:r>
          </w:p>
        </w:tc>
        <w:tc>
          <w:tcPr>
            <w:tcW w:w="3969" w:type="dxa"/>
            <w:shd w:val="clear" w:color="auto" w:fill="FFFFFF" w:themeFill="background1"/>
          </w:tcPr>
          <w:p w14:paraId="2464A373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Læringsplatformen/elevplanen, </w:t>
            </w:r>
            <w:proofErr w:type="spellStart"/>
            <w:r>
              <w:rPr>
                <w:sz w:val="20"/>
                <w:szCs w:val="20"/>
              </w:rPr>
              <w:t>SkoleIntra</w:t>
            </w:r>
            <w:proofErr w:type="spellEnd"/>
            <w:r>
              <w:rPr>
                <w:sz w:val="20"/>
                <w:szCs w:val="20"/>
              </w:rPr>
              <w:t>, samtalereferat, optages på lyd eller video</w:t>
            </w:r>
          </w:p>
        </w:tc>
        <w:tc>
          <w:tcPr>
            <w:tcW w:w="11907" w:type="dxa"/>
            <w:shd w:val="clear" w:color="auto" w:fill="FFFFFF" w:themeFill="background1"/>
          </w:tcPr>
          <w:p w14:paraId="1457B60E" w14:textId="77777777" w:rsidR="00AD2979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Narrativer kan opsamles tilfældigt, når man overhører samtaler, eller de kan frembringes i en struktureret proces. Kan fortælle noget om nogle grundlæggende antagelser, forestillinger og fordomme</w:t>
            </w:r>
            <w:r w:rsidR="00F1106F">
              <w:rPr>
                <w:sz w:val="20"/>
                <w:szCs w:val="20"/>
              </w:rPr>
              <w:t>.</w:t>
            </w:r>
          </w:p>
          <w:p w14:paraId="03EFF38F" w14:textId="77777777" w:rsidR="00FD1B82" w:rsidRDefault="00FD1B82" w:rsidP="00DB2458">
            <w:pPr>
              <w:pStyle w:val="Ingenafstand"/>
              <w:rPr>
                <w:sz w:val="20"/>
                <w:szCs w:val="20"/>
              </w:rPr>
            </w:pPr>
          </w:p>
          <w:p w14:paraId="43DF43C6" w14:textId="77777777" w:rsidR="00FD1B82" w:rsidRPr="007D14C1" w:rsidRDefault="00FD1B82" w:rsidP="00DB2458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103B631D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67258BD4" w14:textId="77777777" w:rsidR="00AD2979" w:rsidRPr="007D14C1" w:rsidRDefault="00AD2979" w:rsidP="00DB2458">
            <w:pPr>
              <w:pStyle w:val="Ingenafstand"/>
              <w:rPr>
                <w:b/>
                <w:sz w:val="20"/>
                <w:szCs w:val="20"/>
              </w:rPr>
            </w:pPr>
            <w:r w:rsidRPr="007D14C1">
              <w:rPr>
                <w:b/>
                <w:sz w:val="20"/>
                <w:szCs w:val="20"/>
              </w:rPr>
              <w:t>Interviews</w:t>
            </w:r>
            <w:r w:rsidR="00447AE2">
              <w:rPr>
                <w:b/>
                <w:sz w:val="20"/>
                <w:szCs w:val="20"/>
              </w:rPr>
              <w:t xml:space="preserve"> – individuelle og fokusgruppe</w:t>
            </w:r>
          </w:p>
        </w:tc>
        <w:tc>
          <w:tcPr>
            <w:tcW w:w="2551" w:type="dxa"/>
            <w:shd w:val="clear" w:color="auto" w:fill="FFFFFF" w:themeFill="background1"/>
          </w:tcPr>
          <w:p w14:paraId="267232C3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Spørgsmål og svar</w:t>
            </w:r>
          </w:p>
        </w:tc>
        <w:tc>
          <w:tcPr>
            <w:tcW w:w="1418" w:type="dxa"/>
            <w:shd w:val="clear" w:color="auto" w:fill="FFFFFF" w:themeFill="background1"/>
          </w:tcPr>
          <w:p w14:paraId="06122827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Kvalitativ</w:t>
            </w:r>
          </w:p>
        </w:tc>
        <w:tc>
          <w:tcPr>
            <w:tcW w:w="3969" w:type="dxa"/>
            <w:shd w:val="clear" w:color="auto" w:fill="FFFFFF" w:themeFill="background1"/>
          </w:tcPr>
          <w:p w14:paraId="019B1452" w14:textId="77777777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Læringsplatformen/elevplanen, </w:t>
            </w:r>
            <w:proofErr w:type="spellStart"/>
            <w:r>
              <w:rPr>
                <w:sz w:val="20"/>
                <w:szCs w:val="20"/>
              </w:rPr>
              <w:t>SkoleIntra</w:t>
            </w:r>
            <w:proofErr w:type="spellEnd"/>
            <w:r>
              <w:rPr>
                <w:sz w:val="20"/>
                <w:szCs w:val="20"/>
              </w:rPr>
              <w:t>, interviewnoter, optages på lyd eller video</w:t>
            </w:r>
          </w:p>
        </w:tc>
        <w:tc>
          <w:tcPr>
            <w:tcW w:w="11907" w:type="dxa"/>
            <w:shd w:val="clear" w:color="auto" w:fill="FFFFFF" w:themeFill="background1"/>
          </w:tcPr>
          <w:p w14:paraId="35675173" w14:textId="29477FD8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Giver dybere indblik i praksis. Kan være strukturerede eller semistrukturerede</w:t>
            </w:r>
            <w:r w:rsidR="00F1106F">
              <w:rPr>
                <w:sz w:val="20"/>
                <w:szCs w:val="20"/>
              </w:rPr>
              <w:t>.</w:t>
            </w:r>
          </w:p>
          <w:p w14:paraId="275F5878" w14:textId="77777777" w:rsidR="00AD2979" w:rsidRDefault="00AD2979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Kan give svar på oplevelser, erfaringer, holdninger og forståelser. Kræver tillidsfuld atmosfære. Læringsorienteret for både interviewer og interviewe</w:t>
            </w:r>
            <w:r w:rsidR="00947A0A">
              <w:rPr>
                <w:sz w:val="20"/>
                <w:szCs w:val="20"/>
              </w:rPr>
              <w:t>de</w:t>
            </w:r>
            <w:r w:rsidRPr="007D14C1">
              <w:rPr>
                <w:sz w:val="20"/>
                <w:szCs w:val="20"/>
              </w:rPr>
              <w:t xml:space="preserve"> </w:t>
            </w:r>
            <w:r w:rsidR="00447AE2">
              <w:rPr>
                <w:sz w:val="20"/>
                <w:szCs w:val="20"/>
              </w:rPr>
              <w:t>B</w:t>
            </w:r>
            <w:r w:rsidR="00447AE2" w:rsidRPr="007D14C1">
              <w:rPr>
                <w:sz w:val="20"/>
                <w:szCs w:val="20"/>
              </w:rPr>
              <w:t>lot skal man være opmærksom på, at nogen i fokusgruppen kan sætte dagsordenen.</w:t>
            </w:r>
          </w:p>
          <w:p w14:paraId="0FD1AAD2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57AC8371" w14:textId="22A7C3CA" w:rsidR="00FD1B82" w:rsidRPr="007D14C1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447AE2" w:rsidRPr="007D14C1" w14:paraId="1BBF560C" w14:textId="77777777" w:rsidTr="007F1806">
        <w:tc>
          <w:tcPr>
            <w:tcW w:w="241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15619F0" w14:textId="77777777" w:rsidR="00447AE2" w:rsidRPr="007D14C1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Undervisningsobservation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2DF42F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Indirekte eller direkte observationer af samtaler, dialoger, instruktioner m</w:t>
            </w:r>
            <w:r w:rsidR="00F110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m.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FDB3C6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Kvalitativ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680C8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Video, lydoptagelser eller observationsnoter</w:t>
            </w:r>
          </w:p>
        </w:tc>
        <w:tc>
          <w:tcPr>
            <w:tcW w:w="11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2E8BE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Kan gennemføres af kollega eller leder. Kan sige noget om både eleverne og undervisningen. Væsentligt at afklare observationspunkter inden observationen – mål- og kriteriedannelsen er væsentlig! OBS: Etisk aspekt af at filme elever</w:t>
            </w:r>
            <w:r w:rsidR="00F1106F">
              <w:rPr>
                <w:sz w:val="20"/>
                <w:szCs w:val="20"/>
              </w:rPr>
              <w:t>.</w:t>
            </w:r>
          </w:p>
          <w:p w14:paraId="13F7B28B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38E747EE" w14:textId="77777777" w:rsidR="00FD1B82" w:rsidRPr="007D14C1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447AE2" w:rsidRPr="007D14C1" w14:paraId="7763A6B0" w14:textId="77777777" w:rsidTr="007F1806">
        <w:tc>
          <w:tcPr>
            <w:tcW w:w="241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654C302" w14:textId="77777777" w:rsidR="00447AE2" w:rsidRPr="007D14C1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 w:rsidRPr="007D14C1">
              <w:rPr>
                <w:b/>
                <w:sz w:val="20"/>
                <w:szCs w:val="20"/>
              </w:rPr>
              <w:t>Spørgeskemaer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C9E37D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Svar i form</w:t>
            </w:r>
            <w:r>
              <w:rPr>
                <w:sz w:val="20"/>
                <w:szCs w:val="20"/>
              </w:rPr>
              <w:t xml:space="preserve"> af afkrydsning eller fri</w:t>
            </w:r>
            <w:r w:rsidRPr="007D14C1">
              <w:rPr>
                <w:sz w:val="20"/>
                <w:szCs w:val="20"/>
              </w:rPr>
              <w:t>tekst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9225A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Kvantitativ og kvalitativ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17BEC5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Elevintra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survey</w:t>
            </w:r>
            <w:proofErr w:type="spellEnd"/>
            <w:r>
              <w:rPr>
                <w:sz w:val="20"/>
                <w:szCs w:val="20"/>
              </w:rPr>
              <w:t>-systemet på nettet</w:t>
            </w:r>
          </w:p>
        </w:tc>
        <w:tc>
          <w:tcPr>
            <w:tcW w:w="11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89392B" w14:textId="4B62E2B7" w:rsidR="00FD1B8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Svært at gøre validt – hvordan ved man, at man får svar på det, som man spørger om?</w:t>
            </w:r>
          </w:p>
          <w:p w14:paraId="2BA053E2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 xml:space="preserve">Kan udfyldes anonymt – giver en mulighed for friere svar. </w:t>
            </w:r>
          </w:p>
          <w:p w14:paraId="40BED0EE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263FC48A" w14:textId="77777777" w:rsidR="00FD1B82" w:rsidRPr="007D14C1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447AE2" w:rsidRPr="007D14C1" w14:paraId="274B547D" w14:textId="77777777" w:rsidTr="007F1806">
        <w:tc>
          <w:tcPr>
            <w:tcW w:w="2411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4FEB5DC" w14:textId="77777777" w:rsidR="00447AE2" w:rsidRPr="007D14C1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Trivselsundersøgelse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A937F93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Spørgeskema</w:t>
            </w:r>
          </w:p>
          <w:p w14:paraId="0792359F" w14:textId="190EDB66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</w:t>
            </w:r>
            <w:r w:rsidR="00F1106F">
              <w:rPr>
                <w:sz w:val="20"/>
                <w:szCs w:val="20"/>
              </w:rPr>
              <w:t xml:space="preserve"> og </w:t>
            </w:r>
            <w:r>
              <w:rPr>
                <w:sz w:val="20"/>
                <w:szCs w:val="20"/>
              </w:rPr>
              <w:t>tabeller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F1FDB1F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5425FD3E" w14:textId="77777777" w:rsidR="00447AE2" w:rsidRPr="00BF1AA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Trivselsundersøgelsen (LIS)</w:t>
            </w:r>
          </w:p>
        </w:tc>
        <w:tc>
          <w:tcPr>
            <w:tcW w:w="11907" w:type="dxa"/>
            <w:tcBorders>
              <w:top w:val="single" w:sz="4" w:space="0" w:color="auto"/>
            </w:tcBorders>
            <w:shd w:val="clear" w:color="auto" w:fill="auto"/>
          </w:tcPr>
          <w:p w14:paraId="50710A37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Trivselsundersøgelsen forår 2015 er baseline – bruges til at måle på nationale mål om, at elevernes trivsel skal øges.</w:t>
            </w:r>
          </w:p>
          <w:p w14:paraId="73620D67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Gennemføres januar hvert år</w:t>
            </w:r>
            <w:r w:rsidR="00F1106F">
              <w:rPr>
                <w:sz w:val="20"/>
                <w:szCs w:val="20"/>
              </w:rPr>
              <w:t>.</w:t>
            </w:r>
          </w:p>
          <w:p w14:paraId="13A92B8C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1BA1BFE4" w14:textId="77777777" w:rsidR="00FD1B82" w:rsidRPr="007D14C1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447AE2" w:rsidRPr="007D14C1" w14:paraId="00F0871F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0FF4FDE7" w14:textId="77777777" w:rsidR="00447AE2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Elevfravær</w:t>
            </w:r>
          </w:p>
        </w:tc>
        <w:tc>
          <w:tcPr>
            <w:tcW w:w="2551" w:type="dxa"/>
            <w:shd w:val="clear" w:color="auto" w:fill="auto"/>
          </w:tcPr>
          <w:p w14:paraId="44BD4D20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Registrering</w:t>
            </w:r>
          </w:p>
          <w:p w14:paraId="2D44A609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 og tabeller</w:t>
            </w:r>
          </w:p>
        </w:tc>
        <w:tc>
          <w:tcPr>
            <w:tcW w:w="1418" w:type="dxa"/>
            <w:shd w:val="clear" w:color="auto" w:fill="auto"/>
          </w:tcPr>
          <w:p w14:paraId="3DA25FD7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shd w:val="clear" w:color="auto" w:fill="auto"/>
          </w:tcPr>
          <w:p w14:paraId="19439A44" w14:textId="77777777" w:rsidR="00447AE2" w:rsidRPr="002F07EA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Elevadministrationssystemer (LIS)</w:t>
            </w:r>
          </w:p>
        </w:tc>
        <w:tc>
          <w:tcPr>
            <w:tcW w:w="11907" w:type="dxa"/>
            <w:shd w:val="clear" w:color="auto" w:fill="auto"/>
          </w:tcPr>
          <w:p w14:paraId="5BF8488A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Registreres løbende – i sidste ende i elevadministrationssystemet</w:t>
            </w:r>
            <w:r w:rsidR="00F1106F">
              <w:rPr>
                <w:sz w:val="20"/>
                <w:szCs w:val="20"/>
              </w:rPr>
              <w:t>.</w:t>
            </w:r>
          </w:p>
          <w:p w14:paraId="5F03B630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5181F067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447AE2" w:rsidRPr="007D14C1" w14:paraId="0DDC07D3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267C72BA" w14:textId="77777777" w:rsidR="00447AE2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Tidlig sprogvurdering</w:t>
            </w:r>
          </w:p>
        </w:tc>
        <w:tc>
          <w:tcPr>
            <w:tcW w:w="2551" w:type="dxa"/>
            <w:shd w:val="clear" w:color="auto" w:fill="auto"/>
          </w:tcPr>
          <w:p w14:paraId="0F4A0179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Spørgsmål og svar</w:t>
            </w:r>
          </w:p>
          <w:p w14:paraId="25272AE8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 og tabeller</w:t>
            </w:r>
          </w:p>
        </w:tc>
        <w:tc>
          <w:tcPr>
            <w:tcW w:w="1418" w:type="dxa"/>
            <w:shd w:val="clear" w:color="auto" w:fill="auto"/>
          </w:tcPr>
          <w:p w14:paraId="6AA5BAFE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shd w:val="clear" w:color="auto" w:fill="auto"/>
          </w:tcPr>
          <w:p w14:paraId="73038703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Platform hos Socialstyrelsen via KL</w:t>
            </w:r>
          </w:p>
        </w:tc>
        <w:tc>
          <w:tcPr>
            <w:tcW w:w="11907" w:type="dxa"/>
            <w:shd w:val="clear" w:color="auto" w:fill="auto"/>
          </w:tcPr>
          <w:p w14:paraId="2C714A65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Eleverne besvarer en lang række ark med billeder, hvor de skal markere efter lærerens instrukser. Undersøgelsen kan vise noget om ordforråd, mobilisering m</w:t>
            </w:r>
            <w:r w:rsidR="00F110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m. Gennemføres af børnehaveklasselederen i løbet af efteråret og skal bruges som lærernes forberedelse på start i 1. klasse.</w:t>
            </w:r>
          </w:p>
          <w:p w14:paraId="113FE14E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695F736D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447AE2" w:rsidRPr="007D14C1" w14:paraId="0C426A80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4D24DA5B" w14:textId="77777777" w:rsidR="00447AE2" w:rsidRPr="007D14C1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Matematik-, stave- og læseprøver</w:t>
            </w:r>
          </w:p>
        </w:tc>
        <w:tc>
          <w:tcPr>
            <w:tcW w:w="2551" w:type="dxa"/>
            <w:shd w:val="clear" w:color="auto" w:fill="auto"/>
          </w:tcPr>
          <w:p w14:paraId="19D9B173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Spørgsmål og svar</w:t>
            </w:r>
          </w:p>
          <w:p w14:paraId="4F793AD4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</w:tc>
        <w:tc>
          <w:tcPr>
            <w:tcW w:w="1418" w:type="dxa"/>
            <w:shd w:val="clear" w:color="auto" w:fill="auto"/>
          </w:tcPr>
          <w:p w14:paraId="78D2BDBD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shd w:val="clear" w:color="auto" w:fill="auto"/>
          </w:tcPr>
          <w:p w14:paraId="47C5FCFC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Kommunalt besluttede testformer</w:t>
            </w:r>
          </w:p>
        </w:tc>
        <w:tc>
          <w:tcPr>
            <w:tcW w:w="11907" w:type="dxa"/>
            <w:shd w:val="clear" w:color="auto" w:fill="auto"/>
          </w:tcPr>
          <w:p w14:paraId="5AB3344B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110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standardiserede test MAT, ST og LÆ, som gennemføres og bearbejdes af vejleder</w:t>
            </w:r>
            <w:r w:rsidR="00F1106F">
              <w:rPr>
                <w:sz w:val="20"/>
                <w:szCs w:val="20"/>
              </w:rPr>
              <w:t>.</w:t>
            </w:r>
          </w:p>
          <w:p w14:paraId="27E9FB9D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11873D2C" w14:textId="6A03A8AD" w:rsidR="00FD1B82" w:rsidRPr="007D14C1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447AE2" w:rsidRPr="007D14C1" w14:paraId="5B7D06E4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6AFC55BD" w14:textId="77777777" w:rsidR="00447AE2" w:rsidRPr="007D14C1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Nationale t</w:t>
            </w:r>
            <w:r w:rsidRPr="007D14C1">
              <w:rPr>
                <w:b/>
                <w:sz w:val="20"/>
                <w:szCs w:val="20"/>
              </w:rPr>
              <w:t>est</w:t>
            </w:r>
          </w:p>
        </w:tc>
        <w:tc>
          <w:tcPr>
            <w:tcW w:w="2551" w:type="dxa"/>
            <w:shd w:val="clear" w:color="auto" w:fill="auto"/>
          </w:tcPr>
          <w:p w14:paraId="6D721810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Spørgsmål og svar</w:t>
            </w:r>
          </w:p>
          <w:p w14:paraId="4D1206F0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– norm eller kriterie</w:t>
            </w:r>
          </w:p>
        </w:tc>
        <w:tc>
          <w:tcPr>
            <w:tcW w:w="1418" w:type="dxa"/>
            <w:shd w:val="clear" w:color="auto" w:fill="auto"/>
          </w:tcPr>
          <w:p w14:paraId="47A0F908" w14:textId="77777777" w:rsidR="00447AE2" w:rsidRPr="007D14C1" w:rsidRDefault="00447AE2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shd w:val="clear" w:color="auto" w:fill="auto"/>
          </w:tcPr>
          <w:p w14:paraId="057E8B91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Testogproever.dk (LIS)</w:t>
            </w:r>
          </w:p>
          <w:p w14:paraId="62BCDD1D" w14:textId="77777777" w:rsidR="00447AE2" w:rsidRPr="002F07EA" w:rsidRDefault="00447AE2" w:rsidP="00447AE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auto"/>
          </w:tcPr>
          <w:p w14:paraId="56666BC2" w14:textId="77777777" w:rsidR="00447AE2" w:rsidRDefault="00447AE2" w:rsidP="00447AE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Giver tællelige resultater og kan vise et niveau i forhold til en bestemt standard. Velegnet til status og sammenligninger.</w:t>
            </w:r>
          </w:p>
          <w:p w14:paraId="3240D462" w14:textId="77777777" w:rsidR="00FD1B82" w:rsidRDefault="00FD1B82" w:rsidP="00447AE2">
            <w:pPr>
              <w:pStyle w:val="Ingenafstand"/>
              <w:rPr>
                <w:sz w:val="20"/>
                <w:szCs w:val="20"/>
              </w:rPr>
            </w:pPr>
          </w:p>
          <w:p w14:paraId="027B9E85" w14:textId="77777777" w:rsidR="00FD1B82" w:rsidRPr="007D14C1" w:rsidRDefault="00FD1B82" w:rsidP="00447AE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27027721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667E49F8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Standpunktskarakterer</w:t>
            </w:r>
          </w:p>
        </w:tc>
        <w:tc>
          <w:tcPr>
            <w:tcW w:w="2551" w:type="dxa"/>
            <w:shd w:val="clear" w:color="auto" w:fill="auto"/>
          </w:tcPr>
          <w:p w14:paraId="15E8AA94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– kriteriebaseret</w:t>
            </w:r>
          </w:p>
          <w:p w14:paraId="19E4B06E" w14:textId="296ADFC6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Karakter</w:t>
            </w:r>
          </w:p>
        </w:tc>
        <w:tc>
          <w:tcPr>
            <w:tcW w:w="1418" w:type="dxa"/>
            <w:shd w:val="clear" w:color="auto" w:fill="auto"/>
          </w:tcPr>
          <w:p w14:paraId="75513C6E" w14:textId="77777777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shd w:val="clear" w:color="auto" w:fill="auto"/>
          </w:tcPr>
          <w:p w14:paraId="48884B4F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Elevadministrationssystemet</w:t>
            </w:r>
          </w:p>
        </w:tc>
        <w:tc>
          <w:tcPr>
            <w:tcW w:w="11907" w:type="dxa"/>
            <w:shd w:val="clear" w:color="auto" w:fill="auto"/>
          </w:tcPr>
          <w:p w14:paraId="7C208472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Giver tællelige resultater og kan vise et niveau i forhold til en bestemt standard. Velegnet til status og sammenligninger.</w:t>
            </w:r>
            <w:r>
              <w:rPr>
                <w:sz w:val="20"/>
                <w:szCs w:val="20"/>
              </w:rPr>
              <w:t xml:space="preserve"> Den professionelle vurdering bør bygge på anerkendte kriterier for præstationen – risiko for uens standarder fra lærer til lærer. OBS: Skal være standpunkt!</w:t>
            </w:r>
          </w:p>
          <w:p w14:paraId="0686093F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2FBDFF93" w14:textId="77777777" w:rsidR="00FD1B82" w:rsidRPr="007D14C1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113FD2E6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24A106D4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Terminsprøver</w:t>
            </w:r>
          </w:p>
          <w:p w14:paraId="508FC4B0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796D54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 folkeskolens prøver</w:t>
            </w:r>
          </w:p>
        </w:tc>
        <w:tc>
          <w:tcPr>
            <w:tcW w:w="1418" w:type="dxa"/>
            <w:shd w:val="clear" w:color="auto" w:fill="auto"/>
          </w:tcPr>
          <w:p w14:paraId="6B63FDBD" w14:textId="77777777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shd w:val="clear" w:color="auto" w:fill="auto"/>
          </w:tcPr>
          <w:p w14:paraId="760A2DC6" w14:textId="04176A21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Eleva</w:t>
            </w:r>
            <w:r w:rsidR="00F1106F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ministrationssystemet</w:t>
            </w:r>
          </w:p>
        </w:tc>
        <w:tc>
          <w:tcPr>
            <w:tcW w:w="11907" w:type="dxa"/>
            <w:shd w:val="clear" w:color="auto" w:fill="auto"/>
          </w:tcPr>
          <w:p w14:paraId="5F1D64DD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Giver tællelige resultater og kan vise et niveau i forhold til en bestemt standard. Velegnet til status og sammenligninger.</w:t>
            </w:r>
            <w:r>
              <w:rPr>
                <w:sz w:val="20"/>
                <w:szCs w:val="20"/>
              </w:rPr>
              <w:t xml:space="preserve"> Den professionelle vurdering bør bygge på anerkendte kriterier for præstationen – risiko for uens standarder fra lærer til lærer.</w:t>
            </w:r>
          </w:p>
          <w:p w14:paraId="05B36E38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7F8AF757" w14:textId="77777777" w:rsidR="00FD1B82" w:rsidRPr="007D14C1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4173A186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588A72A2" w14:textId="77777777" w:rsidR="00FA7C12" w:rsidRPr="007D14C1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Folkeskolens p</w:t>
            </w:r>
            <w:r w:rsidRPr="007D14C1">
              <w:rPr>
                <w:b/>
                <w:sz w:val="20"/>
                <w:szCs w:val="20"/>
              </w:rPr>
              <w:t>røver</w:t>
            </w:r>
          </w:p>
        </w:tc>
        <w:tc>
          <w:tcPr>
            <w:tcW w:w="2551" w:type="dxa"/>
            <w:shd w:val="clear" w:color="auto" w:fill="auto"/>
          </w:tcPr>
          <w:p w14:paraId="525C89B7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– kriteriebaseret</w:t>
            </w:r>
          </w:p>
          <w:p w14:paraId="431C1BA7" w14:textId="77777777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Karakter ud fra mundtlige og skriftlige præstationer</w:t>
            </w:r>
          </w:p>
        </w:tc>
        <w:tc>
          <w:tcPr>
            <w:tcW w:w="1418" w:type="dxa"/>
            <w:shd w:val="clear" w:color="auto" w:fill="auto"/>
          </w:tcPr>
          <w:p w14:paraId="285DBE45" w14:textId="77777777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  <w:shd w:val="clear" w:color="auto" w:fill="auto"/>
          </w:tcPr>
          <w:p w14:paraId="2F59266C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Elevadministrationssystemet (LIS)</w:t>
            </w:r>
          </w:p>
          <w:p w14:paraId="0A23D069" w14:textId="77777777" w:rsidR="00FA7C12" w:rsidRPr="00855DCB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auto"/>
          </w:tcPr>
          <w:p w14:paraId="4F981E74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Giver tællelige resultater og kan vise et niveau i forhold til en bestemt standard. Velegnet til status og sammenligninger.</w:t>
            </w:r>
            <w:r>
              <w:rPr>
                <w:sz w:val="20"/>
                <w:szCs w:val="20"/>
              </w:rPr>
              <w:t xml:space="preserve"> Den professionelle vurdering bør bygge på anerkendte kriterier for præstationen – risiko for uens standarder fra lærer til lærer.</w:t>
            </w:r>
          </w:p>
          <w:p w14:paraId="19D52641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1AFEF116" w14:textId="77777777" w:rsidR="00FD1B82" w:rsidRPr="007D14C1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38F88AA4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0C0864EE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Uddannelsesparatheds-vurderingen</w:t>
            </w:r>
          </w:p>
        </w:tc>
        <w:tc>
          <w:tcPr>
            <w:tcW w:w="2551" w:type="dxa"/>
          </w:tcPr>
          <w:p w14:paraId="3914AA5F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Karakter og personlig vurdering</w:t>
            </w:r>
          </w:p>
        </w:tc>
        <w:tc>
          <w:tcPr>
            <w:tcW w:w="1418" w:type="dxa"/>
          </w:tcPr>
          <w:p w14:paraId="68D8C2EB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 og kvalitativ</w:t>
            </w:r>
          </w:p>
        </w:tc>
        <w:tc>
          <w:tcPr>
            <w:tcW w:w="3969" w:type="dxa"/>
          </w:tcPr>
          <w:p w14:paraId="5EBAAB5A" w14:textId="114F1423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</w:t>
            </w:r>
            <w:r w:rsidR="00F110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MinUddannelse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(LIS)</w:t>
            </w:r>
          </w:p>
          <w:p w14:paraId="3A4C90CF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Akkumuleres i Optagelse.dk</w:t>
            </w:r>
          </w:p>
        </w:tc>
        <w:tc>
          <w:tcPr>
            <w:tcW w:w="11907" w:type="dxa"/>
          </w:tcPr>
          <w:p w14:paraId="2129447C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Lærerne skal hvert år vurdere elevernes uddannelsesparathed på 8. årgang og 9. årgang. Vurderingen er en ja/nej-besvarelse samt krav om uddybende kommentarer i tilfælde af vurderingen: ikke uddannelsesparat. Der er for disse elever også krav om en handlingsplan. </w:t>
            </w:r>
          </w:p>
          <w:p w14:paraId="47351DB7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265C2B5E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3C66CD9F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31EB9916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Overgang til ungdomsuddannelse</w:t>
            </w:r>
          </w:p>
        </w:tc>
        <w:tc>
          <w:tcPr>
            <w:tcW w:w="2551" w:type="dxa"/>
          </w:tcPr>
          <w:p w14:paraId="365C9CDC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Registrering via tilmelding</w:t>
            </w:r>
          </w:p>
          <w:p w14:paraId="19FA82C9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Grafer/tabeller</w:t>
            </w:r>
          </w:p>
        </w:tc>
        <w:tc>
          <w:tcPr>
            <w:tcW w:w="1418" w:type="dxa"/>
          </w:tcPr>
          <w:p w14:paraId="3A780AD9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2A44F8A8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Optagelse.dk</w:t>
            </w:r>
          </w:p>
        </w:tc>
        <w:tc>
          <w:tcPr>
            <w:tcW w:w="11907" w:type="dxa"/>
          </w:tcPr>
          <w:p w14:paraId="5BC1D90F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Efter tilmeldingsfristen i marts måned til ungdomsuddannelserne hvert år kan UU-vejledningen trække data på optagelsen. Data sendes i øvrigt videre til LIS og indgår i kvalitetsrapporten.</w:t>
            </w:r>
          </w:p>
          <w:p w14:paraId="36B0FDA6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330405FF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21BB51CB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4EEB1943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Forældretilfredsheds-undersøgelse</w:t>
            </w:r>
          </w:p>
        </w:tc>
        <w:tc>
          <w:tcPr>
            <w:tcW w:w="2551" w:type="dxa"/>
          </w:tcPr>
          <w:p w14:paraId="2C350AA4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Spørgeskema</w:t>
            </w:r>
          </w:p>
          <w:p w14:paraId="09E5ED41" w14:textId="77777777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Grafer/tabeller</w:t>
            </w:r>
          </w:p>
        </w:tc>
        <w:tc>
          <w:tcPr>
            <w:tcW w:w="1418" w:type="dxa"/>
          </w:tcPr>
          <w:p w14:paraId="54CB8884" w14:textId="77777777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1F4108BF" w14:textId="77777777" w:rsidR="00FA7C12" w:rsidRPr="00BF1AA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Tilfredshedsportalen.dk, epinion.dk m</w:t>
            </w:r>
            <w:r w:rsidR="00F110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fl. (LIS)</w:t>
            </w:r>
          </w:p>
        </w:tc>
        <w:tc>
          <w:tcPr>
            <w:tcW w:w="11907" w:type="dxa"/>
          </w:tcPr>
          <w:p w14:paraId="3EFFA40B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spørges til tilfredsheden med undervisningen, den pædagogiske indsats, samarbejde mellem skole og hjem, fysiske rammer – fordelt på skole</w:t>
            </w:r>
            <w:r w:rsidR="00F1106F">
              <w:rPr>
                <w:sz w:val="20"/>
                <w:szCs w:val="20"/>
              </w:rPr>
              <w:t xml:space="preserve"> og</w:t>
            </w:r>
            <w:r>
              <w:rPr>
                <w:sz w:val="20"/>
                <w:szCs w:val="20"/>
              </w:rPr>
              <w:t xml:space="preserve"> SFO</w:t>
            </w:r>
            <w:r w:rsidR="00F1106F">
              <w:rPr>
                <w:sz w:val="20"/>
                <w:szCs w:val="20"/>
              </w:rPr>
              <w:t>.</w:t>
            </w:r>
          </w:p>
          <w:p w14:paraId="7045128F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1CF9443B" w14:textId="21C43345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0FA47625" w14:textId="77777777" w:rsidTr="007F1806">
        <w:tc>
          <w:tcPr>
            <w:tcW w:w="2411" w:type="dxa"/>
            <w:shd w:val="clear" w:color="auto" w:fill="8496B0" w:themeFill="text2" w:themeFillTint="99"/>
          </w:tcPr>
          <w:p w14:paraId="2A3DA1BA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Undervisning </w:t>
            </w:r>
          </w:p>
        </w:tc>
        <w:tc>
          <w:tcPr>
            <w:tcW w:w="2551" w:type="dxa"/>
          </w:tcPr>
          <w:p w14:paraId="19723344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Registrering</w:t>
            </w:r>
          </w:p>
          <w:p w14:paraId="4D25713F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 og tabeller</w:t>
            </w:r>
          </w:p>
        </w:tc>
        <w:tc>
          <w:tcPr>
            <w:tcW w:w="1418" w:type="dxa"/>
          </w:tcPr>
          <w:p w14:paraId="30766AE9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49F02B22" w14:textId="77777777" w:rsidR="00FA7C12" w:rsidRPr="002F07EA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Administrationssystemer (LIS)</w:t>
            </w:r>
          </w:p>
        </w:tc>
        <w:tc>
          <w:tcPr>
            <w:tcW w:w="11907" w:type="dxa"/>
          </w:tcPr>
          <w:p w14:paraId="24E5EC9D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 w:rsidRPr="001A034A">
              <w:rPr>
                <w:sz w:val="20"/>
                <w:szCs w:val="20"/>
              </w:rPr>
              <w:t>Kompetencedækning og elevfravær. Registreres i administrationssystemet – lederen vurderer kvalifikationer.</w:t>
            </w:r>
          </w:p>
          <w:p w14:paraId="23B315D5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1DB3A3ED" w14:textId="77777777" w:rsidR="00FD1B82" w:rsidRPr="001A034A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523BD5B2" w14:textId="77777777" w:rsidTr="007F1806">
        <w:tc>
          <w:tcPr>
            <w:tcW w:w="2411" w:type="dxa"/>
            <w:shd w:val="clear" w:color="auto" w:fill="8496B0" w:themeFill="text2" w:themeFillTint="99"/>
          </w:tcPr>
          <w:p w14:paraId="33552203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Inklusion</w:t>
            </w:r>
          </w:p>
        </w:tc>
        <w:tc>
          <w:tcPr>
            <w:tcW w:w="2551" w:type="dxa"/>
          </w:tcPr>
          <w:p w14:paraId="6406AC3F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Registrering</w:t>
            </w:r>
          </w:p>
          <w:p w14:paraId="6F0AE0F3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 og tabeller</w:t>
            </w:r>
          </w:p>
        </w:tc>
        <w:tc>
          <w:tcPr>
            <w:tcW w:w="1418" w:type="dxa"/>
          </w:tcPr>
          <w:p w14:paraId="0F64B1FB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250CACA6" w14:textId="77777777" w:rsidR="00FA7C12" w:rsidRPr="002F07EA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Elevadministrationssystemer (LIS)</w:t>
            </w:r>
          </w:p>
        </w:tc>
        <w:tc>
          <w:tcPr>
            <w:tcW w:w="11907" w:type="dxa"/>
          </w:tcPr>
          <w:p w14:paraId="28595B35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Inklusionsgrad – antal elever, der undervises i den almene undervisning</w:t>
            </w:r>
            <w:r w:rsidR="00F110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samt oversigt over antal elever i specialtilbud</w:t>
            </w:r>
            <w:r w:rsidR="00F1106F">
              <w:rPr>
                <w:sz w:val="20"/>
                <w:szCs w:val="20"/>
              </w:rPr>
              <w:t>.</w:t>
            </w:r>
          </w:p>
          <w:p w14:paraId="070CB708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72481433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146A8DC2" w14:textId="77777777" w:rsidTr="007F1806">
        <w:tc>
          <w:tcPr>
            <w:tcW w:w="2411" w:type="dxa"/>
            <w:shd w:val="clear" w:color="auto" w:fill="8496B0" w:themeFill="text2" w:themeFillTint="99"/>
          </w:tcPr>
          <w:p w14:paraId="5C820087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Elever (elevtal og DSA)</w:t>
            </w:r>
          </w:p>
        </w:tc>
        <w:tc>
          <w:tcPr>
            <w:tcW w:w="2551" w:type="dxa"/>
          </w:tcPr>
          <w:p w14:paraId="025B2658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Registrering</w:t>
            </w:r>
          </w:p>
          <w:p w14:paraId="7DDAB5A3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 og tabeller</w:t>
            </w:r>
          </w:p>
        </w:tc>
        <w:tc>
          <w:tcPr>
            <w:tcW w:w="1418" w:type="dxa"/>
          </w:tcPr>
          <w:p w14:paraId="4A772CD8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59004A56" w14:textId="77777777" w:rsidR="00FA7C12" w:rsidRPr="002F07EA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Elevadministrationssystemer (LIS)</w:t>
            </w:r>
          </w:p>
        </w:tc>
        <w:tc>
          <w:tcPr>
            <w:tcW w:w="11907" w:type="dxa"/>
          </w:tcPr>
          <w:p w14:paraId="0DD658EB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Giver et overblik over skolens elevsammensætning</w:t>
            </w:r>
            <w:r w:rsidR="00F1106F">
              <w:rPr>
                <w:sz w:val="20"/>
                <w:szCs w:val="20"/>
              </w:rPr>
              <w:t>.</w:t>
            </w:r>
          </w:p>
          <w:p w14:paraId="731DECE2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7B30A659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7D6D5B2C" w14:textId="77777777" w:rsidTr="007F1806">
        <w:tc>
          <w:tcPr>
            <w:tcW w:w="2411" w:type="dxa"/>
            <w:shd w:val="clear" w:color="auto" w:fill="8496B0" w:themeFill="text2" w:themeFillTint="99"/>
          </w:tcPr>
          <w:p w14:paraId="56CD14D5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Økonomi</w:t>
            </w:r>
          </w:p>
        </w:tc>
        <w:tc>
          <w:tcPr>
            <w:tcW w:w="2551" w:type="dxa"/>
          </w:tcPr>
          <w:p w14:paraId="14A5028D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Registrering</w:t>
            </w:r>
          </w:p>
          <w:p w14:paraId="195FA687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 og tabeller</w:t>
            </w:r>
          </w:p>
        </w:tc>
        <w:tc>
          <w:tcPr>
            <w:tcW w:w="1418" w:type="dxa"/>
          </w:tcPr>
          <w:p w14:paraId="05845194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403A47A6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Administrationssystemer (LIS)</w:t>
            </w:r>
          </w:p>
        </w:tc>
        <w:tc>
          <w:tcPr>
            <w:tcW w:w="11907" w:type="dxa"/>
          </w:tcPr>
          <w:p w14:paraId="5E159F2C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Udgifter til folkeskolen pr. elev. Tal genereres fra indberetninger fra kommunerne</w:t>
            </w:r>
            <w:r w:rsidR="00F1106F">
              <w:rPr>
                <w:sz w:val="20"/>
                <w:szCs w:val="20"/>
              </w:rPr>
              <w:t>.</w:t>
            </w:r>
          </w:p>
          <w:p w14:paraId="7E884B99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16DB7D94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353FAF85" w14:textId="77777777" w:rsidTr="007F1806">
        <w:tc>
          <w:tcPr>
            <w:tcW w:w="2411" w:type="dxa"/>
            <w:shd w:val="clear" w:color="auto" w:fill="8496B0" w:themeFill="text2" w:themeFillTint="99"/>
          </w:tcPr>
          <w:p w14:paraId="674FA0F7" w14:textId="77777777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Personale</w:t>
            </w:r>
          </w:p>
        </w:tc>
        <w:tc>
          <w:tcPr>
            <w:tcW w:w="2551" w:type="dxa"/>
          </w:tcPr>
          <w:p w14:paraId="74DF18D7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Registrering</w:t>
            </w:r>
          </w:p>
          <w:p w14:paraId="2DC8ECA3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Grafer og tabeller</w:t>
            </w:r>
          </w:p>
        </w:tc>
        <w:tc>
          <w:tcPr>
            <w:tcW w:w="1418" w:type="dxa"/>
          </w:tcPr>
          <w:p w14:paraId="102AFEDC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5C800900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Elevadministrationssystemer (LIS)</w:t>
            </w:r>
          </w:p>
        </w:tc>
        <w:tc>
          <w:tcPr>
            <w:tcW w:w="11907" w:type="dxa"/>
          </w:tcPr>
          <w:p w14:paraId="4DC92D02" w14:textId="7777777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 ansatte og årsværk, tid med eleverne og ressourceindikatorer</w:t>
            </w:r>
            <w:r w:rsidR="00F1106F">
              <w:rPr>
                <w:sz w:val="20"/>
                <w:szCs w:val="20"/>
              </w:rPr>
              <w:t>.</w:t>
            </w:r>
          </w:p>
          <w:p w14:paraId="39D08C74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36E61EFD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7F1806" w:rsidRPr="007D14C1" w14:paraId="11425D3D" w14:textId="77777777" w:rsidTr="007F1806">
        <w:tc>
          <w:tcPr>
            <w:tcW w:w="2411" w:type="dxa"/>
            <w:shd w:val="clear" w:color="auto" w:fill="8496B0" w:themeFill="text2" w:themeFillTint="99"/>
          </w:tcPr>
          <w:p w14:paraId="673D5276" w14:textId="7EEFAC83" w:rsidR="007F1806" w:rsidRPr="007D14C1" w:rsidRDefault="007F1806" w:rsidP="007F1806">
            <w:pPr>
              <w:pStyle w:val="Ing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Øvrige – f</w:t>
            </w:r>
            <w:r w:rsidR="00F1106F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lærer-producerede test</w:t>
            </w:r>
          </w:p>
        </w:tc>
        <w:tc>
          <w:tcPr>
            <w:tcW w:w="2551" w:type="dxa"/>
          </w:tcPr>
          <w:p w14:paraId="36916E35" w14:textId="77777777" w:rsidR="007F1806" w:rsidRDefault="007F1806" w:rsidP="007F1806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Spørgsmål/svar</w:t>
            </w:r>
          </w:p>
          <w:p w14:paraId="043DABF8" w14:textId="77777777" w:rsidR="007F1806" w:rsidRPr="007D14C1" w:rsidRDefault="007F1806" w:rsidP="007F1806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</w:tc>
        <w:tc>
          <w:tcPr>
            <w:tcW w:w="1418" w:type="dxa"/>
          </w:tcPr>
          <w:p w14:paraId="4CFAEBDC" w14:textId="77777777" w:rsidR="007F1806" w:rsidRPr="007D14C1" w:rsidRDefault="007F1806" w:rsidP="007F1806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Kvantitativ</w:t>
            </w:r>
          </w:p>
        </w:tc>
        <w:tc>
          <w:tcPr>
            <w:tcW w:w="3969" w:type="dxa"/>
          </w:tcPr>
          <w:p w14:paraId="51373B8D" w14:textId="77777777" w:rsidR="007F1806" w:rsidRPr="007D14C1" w:rsidRDefault="007F1806" w:rsidP="007F1806">
            <w:pPr>
              <w:pStyle w:val="Ing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Læringsplatform/elevplan, </w:t>
            </w:r>
            <w:proofErr w:type="spellStart"/>
            <w:r>
              <w:rPr>
                <w:sz w:val="20"/>
                <w:szCs w:val="20"/>
              </w:rPr>
              <w:t>SkoleIntra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7" w:type="dxa"/>
          </w:tcPr>
          <w:p w14:paraId="10A9191B" w14:textId="77777777" w:rsidR="007F1806" w:rsidRDefault="007F1806" w:rsidP="007F1806">
            <w:pPr>
              <w:pStyle w:val="Ingenafstand"/>
              <w:rPr>
                <w:sz w:val="20"/>
                <w:szCs w:val="20"/>
              </w:rPr>
            </w:pPr>
            <w:r w:rsidRPr="007D14C1">
              <w:rPr>
                <w:sz w:val="20"/>
                <w:szCs w:val="20"/>
              </w:rPr>
              <w:t>Giver tællelige resultater og kan vise et niveau i forhold til en bestemt standard. Velegnet til status og sammenligninger.</w:t>
            </w:r>
            <w:r>
              <w:rPr>
                <w:sz w:val="20"/>
                <w:szCs w:val="20"/>
              </w:rPr>
              <w:t xml:space="preserve"> Den professionelle vurdering bør bygge på anerkendte kriterier for præstationen – risiko for uens standarder fra lærer til lærer.</w:t>
            </w:r>
          </w:p>
          <w:p w14:paraId="4234E7EA" w14:textId="77777777" w:rsidR="00FD1B82" w:rsidRDefault="00FD1B82" w:rsidP="007F1806">
            <w:pPr>
              <w:pStyle w:val="Ingenafstand"/>
              <w:rPr>
                <w:sz w:val="20"/>
                <w:szCs w:val="20"/>
              </w:rPr>
            </w:pPr>
          </w:p>
          <w:p w14:paraId="4EF467E3" w14:textId="77777777" w:rsidR="00FD1B82" w:rsidRPr="007D14C1" w:rsidRDefault="00FD1B82" w:rsidP="007F1806">
            <w:pPr>
              <w:pStyle w:val="Ingenafstand"/>
              <w:rPr>
                <w:sz w:val="20"/>
                <w:szCs w:val="20"/>
              </w:rPr>
            </w:pPr>
          </w:p>
        </w:tc>
      </w:tr>
    </w:tbl>
    <w:p w14:paraId="39FFA49C" w14:textId="77777777" w:rsidR="0032585D" w:rsidRDefault="0032585D" w:rsidP="00893C60"/>
    <w:sectPr w:rsidR="0032585D" w:rsidSect="001A034A">
      <w:headerReference w:type="default" r:id="rId6"/>
      <w:footerReference w:type="default" r:id="rId7"/>
      <w:pgSz w:w="23814" w:h="16839" w:orient="landscape" w:code="8"/>
      <w:pgMar w:top="568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AEAC7" w14:textId="77777777" w:rsidR="00315B2F" w:rsidRDefault="00315B2F" w:rsidP="00DF2B45">
      <w:pPr>
        <w:spacing w:after="0" w:line="240" w:lineRule="auto"/>
      </w:pPr>
      <w:r>
        <w:separator/>
      </w:r>
    </w:p>
  </w:endnote>
  <w:endnote w:type="continuationSeparator" w:id="0">
    <w:p w14:paraId="10149E5D" w14:textId="77777777" w:rsidR="00315B2F" w:rsidRDefault="00315B2F" w:rsidP="00DF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C09FD" w14:textId="2A8DB94C" w:rsidR="00FD1B82" w:rsidRDefault="00FD1B82">
    <w:pPr>
      <w:pStyle w:val="Sidefod"/>
    </w:pPr>
    <w:r>
      <w:t xml:space="preserve">Værktøj fra bogen </w:t>
    </w:r>
    <w:r w:rsidRPr="00C00F91">
      <w:rPr>
        <w:i/>
      </w:rPr>
      <w:t>Når data kommer på bordet – ledelse med data</w:t>
    </w:r>
    <w:r>
      <w:rPr>
        <w:i/>
      </w:rPr>
      <w:t>,</w:t>
    </w:r>
    <w:r w:rsidRPr="00C00F91">
      <w:rPr>
        <w:i/>
      </w:rPr>
      <w:t xml:space="preserve"> der giver mening</w:t>
    </w:r>
    <w:r>
      <w:t xml:space="preserve"> af Henrik Stockfleth Olsen, Hanne Marcher og Søren Buhl Hornskov (Dafolo, 2018)</w:t>
    </w:r>
  </w:p>
  <w:p w14:paraId="6416E3FE" w14:textId="77777777" w:rsidR="00FD1B82" w:rsidRDefault="00FD1B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BC73A" w14:textId="77777777" w:rsidR="00315B2F" w:rsidRDefault="00315B2F" w:rsidP="00DF2B45">
      <w:pPr>
        <w:spacing w:after="0" w:line="240" w:lineRule="auto"/>
      </w:pPr>
      <w:r>
        <w:separator/>
      </w:r>
    </w:p>
  </w:footnote>
  <w:footnote w:type="continuationSeparator" w:id="0">
    <w:p w14:paraId="619FA427" w14:textId="77777777" w:rsidR="00315B2F" w:rsidRDefault="00315B2F" w:rsidP="00DF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F7ADC" w14:textId="77777777" w:rsidR="00AD2979" w:rsidRPr="00DF2B45" w:rsidRDefault="00AD2979" w:rsidP="00DF2B45">
    <w:pPr>
      <w:pStyle w:val="Sidehoved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A"/>
    <w:rsid w:val="0003386C"/>
    <w:rsid w:val="000F7BE0"/>
    <w:rsid w:val="00141B4A"/>
    <w:rsid w:val="0014747B"/>
    <w:rsid w:val="001703DD"/>
    <w:rsid w:val="00193BFB"/>
    <w:rsid w:val="001A034A"/>
    <w:rsid w:val="00243AC4"/>
    <w:rsid w:val="00315B2F"/>
    <w:rsid w:val="0032585D"/>
    <w:rsid w:val="00340759"/>
    <w:rsid w:val="003A3C87"/>
    <w:rsid w:val="0044327C"/>
    <w:rsid w:val="00447AE2"/>
    <w:rsid w:val="0056114A"/>
    <w:rsid w:val="005F7C4B"/>
    <w:rsid w:val="00603191"/>
    <w:rsid w:val="006D4C66"/>
    <w:rsid w:val="00780935"/>
    <w:rsid w:val="00783CA0"/>
    <w:rsid w:val="007A3303"/>
    <w:rsid w:val="007F1806"/>
    <w:rsid w:val="008001AA"/>
    <w:rsid w:val="008558C5"/>
    <w:rsid w:val="00893C60"/>
    <w:rsid w:val="00894F0D"/>
    <w:rsid w:val="00947A0A"/>
    <w:rsid w:val="009C6BDE"/>
    <w:rsid w:val="009F5C56"/>
    <w:rsid w:val="00A061B3"/>
    <w:rsid w:val="00A93FD1"/>
    <w:rsid w:val="00AD292E"/>
    <w:rsid w:val="00AD2979"/>
    <w:rsid w:val="00B61785"/>
    <w:rsid w:val="00B64AE1"/>
    <w:rsid w:val="00B8592B"/>
    <w:rsid w:val="00BF1AA2"/>
    <w:rsid w:val="00BF2DFC"/>
    <w:rsid w:val="00C120B1"/>
    <w:rsid w:val="00D052A3"/>
    <w:rsid w:val="00D42938"/>
    <w:rsid w:val="00D85848"/>
    <w:rsid w:val="00DB2458"/>
    <w:rsid w:val="00DF2B45"/>
    <w:rsid w:val="00DF7C9C"/>
    <w:rsid w:val="00E261B0"/>
    <w:rsid w:val="00E35C51"/>
    <w:rsid w:val="00E445A5"/>
    <w:rsid w:val="00EB0170"/>
    <w:rsid w:val="00EE7F50"/>
    <w:rsid w:val="00F1106F"/>
    <w:rsid w:val="00F53142"/>
    <w:rsid w:val="00FA7C12"/>
    <w:rsid w:val="00FC59D3"/>
    <w:rsid w:val="00FC7ACF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1017"/>
  <w15:chartTrackingRefBased/>
  <w15:docId w15:val="{633906C7-6EC3-40A2-AE80-C8BD77FF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4A"/>
  </w:style>
  <w:style w:type="paragraph" w:styleId="Overskrift1">
    <w:name w:val="heading 1"/>
    <w:basedOn w:val="Normal"/>
    <w:next w:val="Normal"/>
    <w:link w:val="Overskrift1Tegn"/>
    <w:uiPriority w:val="9"/>
    <w:qFormat/>
    <w:rsid w:val="00D8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1A034A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1A034A"/>
  </w:style>
  <w:style w:type="table" w:styleId="Tabel-Gitter">
    <w:name w:val="Table Grid"/>
    <w:basedOn w:val="Tabel-Normal"/>
    <w:uiPriority w:val="59"/>
    <w:rsid w:val="001A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034A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F2B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2B45"/>
  </w:style>
  <w:style w:type="paragraph" w:styleId="Sidefod">
    <w:name w:val="footer"/>
    <w:basedOn w:val="Normal"/>
    <w:link w:val="SidefodTegn"/>
    <w:uiPriority w:val="99"/>
    <w:unhideWhenUsed/>
    <w:rsid w:val="00DF2B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2B45"/>
  </w:style>
  <w:style w:type="character" w:customStyle="1" w:styleId="Overskrift1Tegn">
    <w:name w:val="Overskrift 1 Tegn"/>
    <w:basedOn w:val="Standardskrifttypeiafsnit"/>
    <w:link w:val="Overskrift1"/>
    <w:uiPriority w:val="9"/>
    <w:rsid w:val="00D8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110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110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1106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110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11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Stockfleth Olsen</dc:creator>
  <cp:keywords/>
  <dc:description/>
  <cp:lastModifiedBy>Jane Plesner Thomsen</cp:lastModifiedBy>
  <cp:revision>2</cp:revision>
  <cp:lastPrinted>2016-11-19T12:12:00Z</cp:lastPrinted>
  <dcterms:created xsi:type="dcterms:W3CDTF">2021-04-07T11:32:00Z</dcterms:created>
  <dcterms:modified xsi:type="dcterms:W3CDTF">2021-04-07T11:32:00Z</dcterms:modified>
</cp:coreProperties>
</file>